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14 vom 29. März 2017</w:t>
      </w:r>
    </w:p>
    <w:p>
      <w:r>
        <w:t>VS Kantonsgericht, 2017-03-29, DE</w:t>
      </w:r>
    </w:p>
    <w:p>
      <w:r>
        <w:rPr>
          <w:b/>
        </w:rPr>
        <w:t xml:space="preserve">Quelle: </w:t>
      </w:r>
      <w:r>
        <w:t>https://mcp.opencaselaw.ch/entscheid/vs_gerichte_C1 16 14</w:t>
      </w:r>
    </w:p>
    <w:p>
      <w:r>
        <w:t>FR: VS_GERICHTE C1 16 14 du 29 mars 2017</w:t>
      </w:r>
    </w:p>
    <w:p>
      <w:r>
        <w:t>IT: VS_GERICHTE C1 16 14 del 29 marzo 2017</w:t>
      </w:r>
    </w:p>
    <w:p>
      <w:pPr>
        <w:pStyle w:val="Heading2"/>
      </w:pPr>
      <w:r>
        <w:t>Regeste</w:t>
      </w:r>
    </w:p>
    <w:p>
      <w:r>
        <w:t>C1 16 14 URTEIL VOM 29. MÄRZ 2017 Kantonsgericht Wallis I. Zivilrechtliche Abteilung Besetzung: Hermann Murmann, Einzelrichter; Silas Providoli, Gerichtsschreiber in Sachen X.__________, Klägerin und Berufungsklägerin, vertreten durch Rechtsanwalt M.__________ gegen Y.__________ AG, Beklagte und Berufungsbeklagte, vertreten durch Rechtsanwalt N.__________ (Arbeitsvertrag) Berufung gegen den Entscheid des Arbeitsgerichts vom 21. Mai 2015</w:t>
      </w:r>
    </w:p>
    <w:p>
      <w:pPr>
        <w:pStyle w:val="Heading2"/>
      </w:pPr>
      <w:r>
        <w:t>Erwägungen</w:t>
      </w:r>
    </w:p>
    <w:p>
      <w:r>
        <w:rPr>
          <w:b/>
        </w:rPr>
        <w:t>E. 5</w:t>
      </w:r>
    </w:p>
    <w:p>
      <w:r>
        <w:t>[Ausführungen dazu, dass sich die Berufungsklägerin nicht aller weit reichender Konsequenzen bewusst war, die der Aufhebungs- vertrag für sie hatte, und dass ihr Verzicht weitaus höher war als jener der Arbeitgeberin, womit der Aufhebungsvertrag lediglich zu einem beschränkten Interessensausgleich führte, so dass er auch aus die- sen Gründen ungültig war.]</w:t>
      </w:r>
    </w:p>
    <w:p>
      <w:r>
        <w:rPr>
          <w:b/>
        </w:rPr>
        <w:t>E. 6</w:t>
      </w:r>
    </w:p>
    <w:p>
      <w:r>
        <w:t>Nachdem die Ungültigkeit des vorliegenden Aufhebungsvertrages feststeht, stellt sich die Frage nach den Rechtsfolgen. Liegt ein ungültiger Aufhebungsvertrag vor, sind sich Lehre und Rechtsprechung darüber uneins, wie zu verfahren ist (Streiff/Von Kaenel/Rudolph, Praxiskommentar Arbeitsrecht, N. 10 zu Art. 335 OR). Verschiedentlich wurde in der Rechtsprechung die Auffassung vertreten, es liege Nichtigkeit vor, weshalb die Parteien in die Lage zu versetzen seien, als ob nie ein Aufhebungsvertrag existiert hätte (Bundesgerichtsurteile 4A_495/2007 vom 12. Januar 2009 E. 4.3.2.1 und 4A_376/2010 vom 30. September 2010 E. 3). Die Lehre stellt sich demgegenüber auch auf den Standpunkt, dass das Arbeitsverhältnis vorbehältlich der Bestimmung von Art. 336c Abs. 2 OR dennoch als beendet anzusehen sei, wobei dem Arbeitnehmer jedoch die umgan- genen gesetzlichen oder gesamtarbeitsvertraglichen Ansprüche (z.B. Lohnfortzahlung im Krankheitsfall) erhalten blieben. Dabei ist auf die zwingenden gesetzlichen oder gesamtarbeitsvertraglichen Kündi- gungsfristen abzustellen (Entscheid des Kantonsgerichts St. Gallen BO.2016.10 vom 26. Oktober 2016 E. 2b mit Hinweisen). Im vorliegenden Fall erscheint es sachgerecht, von einer Kündigung des Arbeitsverhältnisses auszugehen, zumal die Arbeitgeberin das Arbeitsverhältnis offensichtlich nicht fortführen wollte, hatte doch C. - nachdem er die Arbeitnehmerin für 17.00 Uhr ins Büro bestellt hatte -</w:t>
      </w:r>
    </w:p>
    <w:p>
      <w:r>
        <w:t>310 RVJ / ZWR 2017 gegoogelt und so einen Aufhebungsvertrag für die Sitzung am späte- ren Nachmittag vorbereitet. Unklar ist indessen, was genau die Kläge- rin beabsichtigte. Gemäss der Zeugin D. hatte C. der Klägerin gesagt, sie könne ja gleich kündigen und später habe diese dem C. gegen- über erklärt, sein Angebot anzunehmen. Ob sie nun bereit war, selber zu kündigen oder mit einer Kündigung seitens der Arbeitgeberin einverstanden war, ist unklar. Auf alle Fälle schloss sie die Auflösung des Arbeitsverhältnisses als Folge einer Kündigung nicht aus, so dass mithin von einer rechtswirksamen Kündigung auszugehen ist und der Klägerin daher die umgangenen gesetzlichen und vertraglichen Ansprüche zuzugestehen sind. Relevant ist insbesondere, ob gemäss den Bestimmungen von Art. 337 ff. OR bei einer fristlosen Kündigung oder nach Art. 336 OR bei einer ordentlichen Kündigung zu verfahren ist. Diesbezüglich ist darauf abzustellen, was die Arbeitgeberin ursprünglich beabsichtigt hat. C. erklärte der Klägerin, sie könne ja gleich kündigen und schlug dann selber die Unterzeichnung des Aufhebungsvertrages vor, wobei die Aufhebung des Arbeitsver- hältnisses gemäss seinen eigenen Angaben per 15. Dezember 2013 - demnach nicht per sofort - erfolgen sollte. Die Klägerin war damit jedoch nicht einverstanden und die Parteien einigten sich auf die Vertragsaufhebung per 31. Dezember 2013. Es ist Sache der Arbeitnehmerin zu beweisen, dass eine Arbeitge- berin eine fristlose Kündigung angestrebt hatte (Emmel, in: Huguenin/ Müller-Chen, Handkommentar zum Schweizer Privatrecht, Vertrags- verhältnisse Teil 2, 3. A., Zürich/Basel/Genf 2016, N. 4 zu Art. 335 OR). Dies wurde vorliegend nicht bewiesen, so dass von einer ordentlichen Kündigung auszugehen ist.</w:t>
      </w:r>
    </w:p>
    <w:p>
      <w:r>
        <w:rPr>
          <w:b/>
        </w:rPr>
        <w:t>E. 7</w:t>
      </w:r>
    </w:p>
    <w:p>
      <w:r>
        <w:t>Da der Berufungsklägerin ordentlich mit einer Frist von 3 Monaten gekündigt werden konnte, wäre eine Kündigung am 5. Dezember 2013 frühestens auf den 31. März 2014 möglich gewesen. Es ist unstrittig, dass die Berufungsklägerin monatlich Fr. 6000.- brutto verdiente, so dass ihr bis zum 31. März 2014 ein Bruttolohn von Fr. 18 000.- zustand und ihr dieser Lohn, der von ihr auch eingeklagt wurde, für die Monate Januar, Februar und März 2014 durch die Beru- fungsbeklagte zu bezahlen ist, wovon die entsprechenden Sozialversi- cherungsbeiträge mit den zuständigen Instanzen abzurechnen sind. In diesem Punkte ist die Berufung gutzuheissen.</w:t>
      </w:r>
    </w:p>
    <w:p>
      <w:r>
        <w:t>RVJ / ZWR 2017 311</w:t>
      </w:r>
    </w:p>
    <w:p>
      <w:r>
        <w:rPr>
          <w:b/>
        </w:rPr>
        <w:t>E. 8</w:t>
      </w:r>
    </w:p>
    <w:p>
      <w:r>
        <w:t>Die Berufungsklägerin verlangt zudem, dass ihr neben dem Lohn auch noch eine Ferienentschädigung von Fr. 4135.555 brutto ausbe- zahlt wird, da ihr bis Ende März 2014 noch 12 Ferientage zuge- standen hätten. Diesbezüglich gilt es festzuhalten, dass Ferien grundsätzlich der Erholung dienen sollen und aus diesem Erholungszweck folgt, dass der Anspruch auf reale Freizeitgewährung im Vordergrund steht. Wird einem Arbeitnehmer gekündigt, so hat er seine Ferien real während der Kündigungsfrist zu beziehen, sofern ihm in diesem Zeitraum neben der erforderlichen Zeit für die Suche nach einer neuen Stelle noch genügend Zeit für Erholung übrig bleibt. Vorliegend wurde die Arbeitnehmerin am 5. Dezember 2013 frei- gestellt und sie nahm auch ihre Arbeit bis zum 31. März 2014 nicht wieder auf. In dieser Zeitspanne blieb ihr mithin genügend Zeit, sich nach einer neuen Arbeitsstelle umzusehen und sich während der restlichen Zeit zu erholen. Sie konnte mithin ihre Ferien real beziehen, so dass ihr diesbezüglich keine Entschädigung zusteht. Die Berufung ist daher in diesem Punkte abzuweisen.</w:t>
      </w:r>
    </w:p>
    <w:p>
      <w:r>
        <w:rPr>
          <w:b/>
        </w:rPr>
        <w:t>E. 9</w:t>
      </w:r>
    </w:p>
    <w:p>
      <w:r>
        <w:t>Die Berufungsklägerin erklärt, dass es sich beim Vorgehen der Berufungsbeklagten um eine Racheaktion gehandelt habe. Dieses wäre die Reaktion auf ihre Nachfrage in der Boniangelegenheit gewe- sen und zusammen mit den anderen Gründen (zu teure Arbeitskraft, anstehende Umbauarbeiten) hätte die Arbeitgeberin sie schnellstens loswerden wollen. Dass die Boniangelegenheit Auslöser der heftigen Auseinanderset- zung gewesen ist, ist unbestritten. Keinesfalls kann aber von einer Racheaktion seitens der Arbeitgeberin gesprochen werden und insbe- sondere liegen keinerlei Beweise vor, dass die andern Vorwürfe (zu teure Arbeitskraft, anstehende Umbauarbeiten), wofür die Arbeitneh- merin auch beweispflichtig wäre, die Gründe für die Kündigung gewesen sind. Eine Entschädigung nach Art. 337c Abs. 3 OR steht ihr deshalb nicht zu. Auch in diesem Punkte ist die Berufung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